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1BF9" w14:textId="77777777" w:rsidR="009534C5" w:rsidRPr="009534C5" w:rsidRDefault="009534C5" w:rsidP="009534C5">
      <w:pPr>
        <w:spacing w:after="0"/>
        <w:jc w:val="center"/>
        <w:rPr>
          <w:rFonts w:ascii="Arial" w:hAnsi="Arial" w:cs="Arial"/>
          <w:bCs/>
          <w:spacing w:val="1"/>
          <w:sz w:val="24"/>
          <w:szCs w:val="24"/>
        </w:rPr>
      </w:pPr>
      <w:bookmarkStart w:id="0" w:name="_GoBack"/>
      <w:bookmarkEnd w:id="0"/>
      <w:r w:rsidRPr="009534C5">
        <w:rPr>
          <w:rFonts w:ascii="Arial" w:hAnsi="Arial" w:cs="Arial"/>
          <w:bCs/>
          <w:spacing w:val="1"/>
          <w:sz w:val="24"/>
          <w:szCs w:val="24"/>
        </w:rPr>
        <w:t>АДМИНИСТРАЦИЯ ВЫЕЗЖЕЛОГСКОГО</w:t>
      </w:r>
    </w:p>
    <w:p w14:paraId="07CFE478" w14:textId="77777777" w:rsidR="009534C5" w:rsidRPr="009534C5" w:rsidRDefault="009534C5" w:rsidP="009534C5">
      <w:pPr>
        <w:spacing w:after="0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9534C5">
        <w:rPr>
          <w:rFonts w:ascii="Arial" w:hAnsi="Arial" w:cs="Arial"/>
          <w:bCs/>
          <w:spacing w:val="1"/>
          <w:sz w:val="24"/>
          <w:szCs w:val="24"/>
        </w:rPr>
        <w:t xml:space="preserve"> СЕЛЬСОВЕТА МАНСКОГО РАЙОНА</w:t>
      </w:r>
    </w:p>
    <w:p w14:paraId="4D7C8E3C" w14:textId="77777777" w:rsidR="009534C5" w:rsidRPr="009534C5" w:rsidRDefault="009534C5" w:rsidP="009534C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534C5">
        <w:rPr>
          <w:rFonts w:ascii="Arial" w:hAnsi="Arial" w:cs="Arial"/>
          <w:bCs/>
          <w:spacing w:val="1"/>
          <w:sz w:val="24"/>
          <w:szCs w:val="24"/>
        </w:rPr>
        <w:t xml:space="preserve"> КРАСНОЯРСКОГО КРАЯ</w:t>
      </w:r>
    </w:p>
    <w:p w14:paraId="5F05218A" w14:textId="77777777" w:rsidR="009534C5" w:rsidRDefault="009534C5" w:rsidP="009534C5">
      <w:pPr>
        <w:spacing w:after="0"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14:paraId="759441B1" w14:textId="77777777" w:rsidR="009534C5" w:rsidRDefault="009534C5" w:rsidP="009534C5">
      <w:pPr>
        <w:spacing w:after="0"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14:paraId="3E6967F1" w14:textId="62E490CF" w:rsidR="009534C5" w:rsidRPr="009534C5" w:rsidRDefault="009534C5" w:rsidP="009534C5">
      <w:pPr>
        <w:spacing w:after="0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9534C5">
        <w:rPr>
          <w:rFonts w:ascii="Arial" w:hAnsi="Arial" w:cs="Arial"/>
          <w:b/>
          <w:spacing w:val="-1"/>
          <w:sz w:val="28"/>
          <w:szCs w:val="28"/>
        </w:rPr>
        <w:t>ПОСТАНОВЛЕНИЕ</w:t>
      </w:r>
    </w:p>
    <w:p w14:paraId="25D9ED66" w14:textId="77777777" w:rsidR="009534C5" w:rsidRDefault="009534C5" w:rsidP="009534C5">
      <w:pPr>
        <w:spacing w:after="0"/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14:paraId="6CC561B7" w14:textId="23419410" w:rsidR="009534C5" w:rsidRPr="009534C5" w:rsidRDefault="009534C5" w:rsidP="009534C5">
      <w:pPr>
        <w:spacing w:after="0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9534C5">
        <w:rPr>
          <w:rFonts w:ascii="Arial" w:hAnsi="Arial" w:cs="Arial"/>
          <w:bCs/>
          <w:spacing w:val="-2"/>
          <w:sz w:val="24"/>
          <w:szCs w:val="24"/>
        </w:rPr>
        <w:t>д. Выезжий Лог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13"/>
        <w:gridCol w:w="3111"/>
      </w:tblGrid>
      <w:tr w:rsidR="009534C5" w:rsidRPr="009534C5" w14:paraId="693195DA" w14:textId="77777777" w:rsidTr="00326D31">
        <w:tc>
          <w:tcPr>
            <w:tcW w:w="3177" w:type="dxa"/>
          </w:tcPr>
          <w:p w14:paraId="6B428929" w14:textId="77777777" w:rsidR="009534C5" w:rsidRPr="009534C5" w:rsidRDefault="009534C5" w:rsidP="00326D31">
            <w:pPr>
              <w:spacing w:after="0"/>
              <w:ind w:left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534C5">
              <w:rPr>
                <w:rFonts w:ascii="Arial" w:hAnsi="Arial" w:cs="Arial"/>
                <w:bCs/>
                <w:sz w:val="24"/>
                <w:szCs w:val="24"/>
              </w:rPr>
              <w:t>11.11.2024  г.</w:t>
            </w:r>
            <w:proofErr w:type="gramEnd"/>
          </w:p>
        </w:tc>
        <w:tc>
          <w:tcPr>
            <w:tcW w:w="3207" w:type="dxa"/>
          </w:tcPr>
          <w:p w14:paraId="7294E872" w14:textId="77777777" w:rsidR="009534C5" w:rsidRPr="009534C5" w:rsidRDefault="009534C5" w:rsidP="00326D31">
            <w:pPr>
              <w:spacing w:after="0"/>
              <w:ind w:left="283"/>
              <w:jc w:val="center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55A655AC" w14:textId="77777777" w:rsidR="009534C5" w:rsidRPr="009534C5" w:rsidRDefault="009534C5" w:rsidP="00326D31">
            <w:pPr>
              <w:spacing w:after="0"/>
              <w:ind w:left="28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4C5">
              <w:rPr>
                <w:rFonts w:ascii="Arial" w:hAnsi="Arial" w:cs="Arial"/>
                <w:bCs/>
                <w:sz w:val="24"/>
                <w:szCs w:val="24"/>
              </w:rPr>
              <w:t>№ 73</w:t>
            </w:r>
          </w:p>
        </w:tc>
      </w:tr>
    </w:tbl>
    <w:p w14:paraId="33857E0D" w14:textId="77777777" w:rsidR="009534C5" w:rsidRDefault="009534C5" w:rsidP="009534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E4EBB64" w14:textId="7BA63D2A" w:rsidR="009534C5" w:rsidRPr="009534C5" w:rsidRDefault="009534C5" w:rsidP="009534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34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9534C5">
        <w:rPr>
          <w:rFonts w:ascii="Arial" w:eastAsia="Times New Roman" w:hAnsi="Arial" w:cs="Arial"/>
          <w:bCs/>
          <w:sz w:val="24"/>
          <w:szCs w:val="24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сельсовета".</w:t>
      </w:r>
    </w:p>
    <w:p w14:paraId="1D77B416" w14:textId="77777777" w:rsidR="009534C5" w:rsidRPr="009534C5" w:rsidRDefault="009534C5" w:rsidP="00953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4C5">
        <w:rPr>
          <w:rFonts w:ascii="Arial" w:hAnsi="Arial" w:cs="Arial"/>
          <w:sz w:val="24"/>
          <w:szCs w:val="24"/>
        </w:rPr>
        <w:t xml:space="preserve">В соответствии с Бюджетным кодексом РФ, </w:t>
      </w:r>
      <w:proofErr w:type="gramStart"/>
      <w:r w:rsidRPr="009534C5">
        <w:rPr>
          <w:rFonts w:ascii="Arial" w:hAnsi="Arial" w:cs="Arial"/>
          <w:sz w:val="24"/>
          <w:szCs w:val="24"/>
        </w:rPr>
        <w:t>руководствуясь  п.</w:t>
      </w:r>
      <w:proofErr w:type="gramEnd"/>
      <w:r w:rsidRPr="009534C5">
        <w:rPr>
          <w:rFonts w:ascii="Arial" w:hAnsi="Arial" w:cs="Arial"/>
          <w:sz w:val="24"/>
          <w:szCs w:val="24"/>
        </w:rPr>
        <w:t xml:space="preserve"> 1 ст. 19 Устава Манского района  ПОСТАНОВЛЯЕТ:</w:t>
      </w:r>
    </w:p>
    <w:p w14:paraId="144471C8" w14:textId="77777777" w:rsidR="009534C5" w:rsidRPr="009534C5" w:rsidRDefault="009534C5" w:rsidP="00953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4C5">
        <w:rPr>
          <w:rFonts w:ascii="Arial" w:hAnsi="Arial" w:cs="Arial"/>
          <w:sz w:val="24"/>
          <w:szCs w:val="24"/>
        </w:rPr>
        <w:t xml:space="preserve">1. Утвердить муниципальную программу "Профилактика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9534C5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9534C5">
        <w:rPr>
          <w:rFonts w:ascii="Arial" w:hAnsi="Arial" w:cs="Arial"/>
          <w:sz w:val="24"/>
          <w:szCs w:val="24"/>
        </w:rPr>
        <w:t xml:space="preserve"> сельсовета" согласно приложению №1.</w:t>
      </w:r>
    </w:p>
    <w:p w14:paraId="20CDCB91" w14:textId="77777777" w:rsidR="009534C5" w:rsidRPr="009534C5" w:rsidRDefault="009534C5" w:rsidP="00953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4C5">
        <w:rPr>
          <w:rFonts w:ascii="Arial" w:hAnsi="Arial" w:cs="Arial"/>
          <w:sz w:val="24"/>
          <w:szCs w:val="24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</w:t>
      </w:r>
    </w:p>
    <w:p w14:paraId="7E8F9E71" w14:textId="77777777" w:rsidR="009534C5" w:rsidRDefault="009534C5" w:rsidP="009534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525C2" w14:textId="77777777" w:rsidR="009534C5" w:rsidRDefault="009534C5" w:rsidP="009534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CAC863" w14:textId="77777777" w:rsidR="009534C5" w:rsidRDefault="009534C5" w:rsidP="009534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073F36" w14:textId="394644D1" w:rsidR="009534C5" w:rsidRPr="009534C5" w:rsidRDefault="009534C5" w:rsidP="009534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4C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С.А. </w:t>
      </w:r>
      <w:proofErr w:type="spellStart"/>
      <w:r w:rsidRPr="009534C5">
        <w:rPr>
          <w:rFonts w:ascii="Arial" w:eastAsia="Times New Roman" w:hAnsi="Arial" w:cs="Arial"/>
          <w:sz w:val="24"/>
          <w:szCs w:val="24"/>
          <w:lang w:eastAsia="ru-RU"/>
        </w:rPr>
        <w:t>Цикунов</w:t>
      </w:r>
      <w:proofErr w:type="spellEnd"/>
      <w:r w:rsidRPr="009534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6CBCE3E0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13765E97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03FBF233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275ACDC5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230E842F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1C35BC0C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305273DC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608A2FC6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2EEAE871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3B0A1C47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25617751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3F23257F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5263837D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0D8E8202" w14:textId="77777777" w:rsid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0F9BDC79" w14:textId="4EB8407B" w:rsidR="009534C5" w:rsidRP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lastRenderedPageBreak/>
        <w:t>Приложение 1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</w:p>
    <w:p w14:paraId="3B10C3AC" w14:textId="347535C0" w:rsidR="009534C5" w:rsidRPr="009534C5" w:rsidRDefault="009534C5" w:rsidP="009534C5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к постановлению администрации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proofErr w:type="spellStart"/>
      <w:r w:rsidRPr="009534C5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color w:val="3B2D36"/>
          <w:lang w:eastAsia="ru-RU"/>
        </w:rPr>
        <w:t xml:space="preserve"> сельсовета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 xml:space="preserve">от 11.11.2024 г. № 73           </w:t>
      </w:r>
    </w:p>
    <w:p w14:paraId="0D2F7B26" w14:textId="77777777" w:rsidR="009534C5" w:rsidRPr="009534C5" w:rsidRDefault="009534C5" w:rsidP="00953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lang w:eastAsia="ru-RU"/>
        </w:rPr>
      </w:pPr>
      <w:r w:rsidRPr="009534C5">
        <w:rPr>
          <w:rFonts w:ascii="Arial" w:eastAsia="Times New Roman" w:hAnsi="Arial" w:cs="Arial"/>
          <w:bCs/>
          <w:color w:val="3B2D36"/>
          <w:lang w:eastAsia="ru-RU"/>
        </w:rPr>
        <w:t xml:space="preserve">Паспорт программы </w:t>
      </w:r>
    </w:p>
    <w:p w14:paraId="7194163A" w14:textId="77777777" w:rsidR="009534C5" w:rsidRPr="009534C5" w:rsidRDefault="009534C5" w:rsidP="00953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bCs/>
          <w:color w:val="3B2D36"/>
          <w:lang w:eastAsia="ru-RU"/>
        </w:rPr>
        <w:t>Муниципальная программа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bCs/>
          <w:color w:val="3B2D36"/>
          <w:lang w:eastAsia="ru-RU"/>
        </w:rPr>
        <w:t xml:space="preserve">«Профилактика терроризма и экстремизма, минимизации и ликвидации последствий проявлений терроризма и экстремизма на территории </w:t>
      </w:r>
      <w:proofErr w:type="spellStart"/>
      <w:r w:rsidRPr="009534C5">
        <w:rPr>
          <w:rFonts w:ascii="Arial" w:eastAsia="Times New Roman" w:hAnsi="Arial" w:cs="Arial"/>
          <w:bCs/>
          <w:color w:val="3B2D36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bCs/>
          <w:color w:val="3B2D36"/>
          <w:lang w:eastAsia="ru-RU"/>
        </w:rPr>
        <w:t xml:space="preserve"> сельсовета».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8373"/>
      </w:tblGrid>
      <w:tr w:rsidR="009534C5" w:rsidRPr="009534C5" w14:paraId="07B7B514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59C77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Наименование</w:t>
            </w:r>
          </w:p>
          <w:p w14:paraId="12F06291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20648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муниципальная  программа</w:t>
            </w:r>
            <w:proofErr w:type="gram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  «Профилактика  терроризма  и   экстремизма, а также минимизации и (или) ликвидации последствий проявления терроризма и экстремизма на территории 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сельсовета», (далее - Программа)</w:t>
            </w:r>
          </w:p>
        </w:tc>
      </w:tr>
      <w:tr w:rsidR="009534C5" w:rsidRPr="009534C5" w14:paraId="50E77FEF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A673B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Основание для разработки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7074A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1. Федеральный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закон  от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>  06.03.2006 № 35-ФЗ «О противодействии терроризму»,   </w:t>
            </w:r>
          </w:p>
          <w:p w14:paraId="28EF9F51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2. Федеральный  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закон  от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>  25.07.2002 № 114-ФЗ «О  противодействии экстремистской  деятельности»,</w:t>
            </w:r>
          </w:p>
          <w:p w14:paraId="0BBF9C9A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3.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9534C5" w:rsidRPr="009534C5" w14:paraId="15AB2E93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3D24F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Заказчик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7FC69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Администрация  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proofErr w:type="gram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</w:tr>
      <w:tr w:rsidR="009534C5" w:rsidRPr="009534C5" w14:paraId="71DA6796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67C7D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Основные разработчики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2C55D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proofErr w:type="gram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Администрация  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proofErr w:type="gram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</w:tr>
      <w:tr w:rsidR="009534C5" w:rsidRPr="009534C5" w14:paraId="5A622F76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4C76C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Цели и задачи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363A9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цель Программы: </w:t>
            </w:r>
          </w:p>
          <w:p w14:paraId="12B313AD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 - реализация государственной политики в области профилактики терроризма и экстремизма в Российской Федерации;</w:t>
            </w:r>
          </w:p>
          <w:p w14:paraId="7B06A00C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- совершенствование системы профилактических мер антитеррористической и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анти-экстремистской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 xml:space="preserve"> направленности; </w:t>
            </w:r>
          </w:p>
          <w:p w14:paraId="4836E225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- предупреждение террористических и экстремистских проявлений на территории сельского поселения;</w:t>
            </w:r>
          </w:p>
          <w:p w14:paraId="7C8E93F5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04CF1B23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  </w:t>
            </w:r>
          </w:p>
          <w:p w14:paraId="1850CE61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Основные задачи Программы:    </w:t>
            </w:r>
          </w:p>
          <w:p w14:paraId="6F0A2FB5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- повышение      уровня      межведомственного взаимодействия по профилактике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терроризма  и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 xml:space="preserve"> экстремизма;</w:t>
            </w:r>
          </w:p>
          <w:p w14:paraId="74D5361A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- сведение к минимуму проявлений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терроризма  и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>  экстремизма на территории  сельского поселения;</w:t>
            </w:r>
          </w:p>
          <w:p w14:paraId="32896D52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- усиление антитеррористической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защищенности  объектов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 xml:space="preserve"> социальной сферы;</w:t>
            </w:r>
          </w:p>
          <w:p w14:paraId="5D33AF97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- привлечение    </w:t>
            </w: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граждан,   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 xml:space="preserve"> негосударственных структур, в том  числе  СМИ  и  общественных объединений,  для  обеспечения  максимальной эффективности деятельности  по  профилактике  проявлений терроризма и экстремизма; </w:t>
            </w:r>
          </w:p>
          <w:p w14:paraId="22E414AA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-проведение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 бдительности;</w:t>
            </w:r>
          </w:p>
          <w:p w14:paraId="22F98B50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lastRenderedPageBreak/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9534C5" w:rsidRPr="009534C5" w14:paraId="72ADA917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3B2F0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lastRenderedPageBreak/>
              <w:t>Важнейшие оценочные показатели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45857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534C5">
              <w:rPr>
                <w:rFonts w:ascii="Arial" w:eastAsia="Times New Roman" w:hAnsi="Arial" w:cs="Arial"/>
                <w:lang w:eastAsia="ru-RU"/>
              </w:rPr>
              <w:t>в  результате</w:t>
            </w:r>
            <w:proofErr w:type="gramEnd"/>
            <w:r w:rsidRPr="009534C5">
              <w:rPr>
                <w:rFonts w:ascii="Arial" w:eastAsia="Times New Roman" w:hAnsi="Arial" w:cs="Arial"/>
                <w:lang w:eastAsia="ru-RU"/>
              </w:rPr>
              <w:t>  реализации   мероприятий Программы улучшится социальная  защищенность  общества и техническая оснащенность объектов социальной сферы, образования,   здравоохранения   для   предотвращения  возникновения террористической    угрозы,   произойдет  совершенствование   профилактики межнациональных конфликтов</w:t>
            </w:r>
          </w:p>
        </w:tc>
      </w:tr>
      <w:tr w:rsidR="009534C5" w:rsidRPr="009534C5" w14:paraId="75ACCC4E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CCCFF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Сроки и этапы реализации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10D02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2025-2027 </w:t>
            </w:r>
            <w:proofErr w:type="spellStart"/>
            <w:r w:rsidRPr="009534C5">
              <w:rPr>
                <w:rFonts w:ascii="Arial" w:eastAsia="Times New Roman" w:hAnsi="Arial" w:cs="Arial"/>
                <w:lang w:eastAsia="ru-RU"/>
              </w:rPr>
              <w:t>гг</w:t>
            </w:r>
            <w:proofErr w:type="spellEnd"/>
          </w:p>
        </w:tc>
      </w:tr>
      <w:tr w:rsidR="009534C5" w:rsidRPr="009534C5" w14:paraId="59D86A99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D097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CD4E5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9534C5">
              <w:rPr>
                <w:rFonts w:ascii="Arial" w:eastAsia="Times New Roman" w:hAnsi="Arial" w:cs="Arial"/>
                <w:lang w:eastAsia="ru-RU"/>
              </w:rPr>
              <w:t xml:space="preserve"> сельсовета, МБУК «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Выезжелогский</w:t>
            </w:r>
            <w:proofErr w:type="spellEnd"/>
            <w:r w:rsidRPr="009534C5">
              <w:rPr>
                <w:rFonts w:ascii="Arial" w:eastAsia="Times New Roman" w:hAnsi="Arial" w:cs="Arial"/>
                <w:lang w:eastAsia="ru-RU"/>
              </w:rPr>
              <w:t xml:space="preserve"> СДК, МБОУ СОШ </w:t>
            </w:r>
            <w:proofErr w:type="spellStart"/>
            <w:r w:rsidRPr="009534C5">
              <w:rPr>
                <w:rFonts w:ascii="Arial" w:eastAsia="Times New Roman" w:hAnsi="Arial" w:cs="Arial"/>
                <w:lang w:eastAsia="ru-RU"/>
              </w:rPr>
              <w:t>д.Выезжий</w:t>
            </w:r>
            <w:proofErr w:type="spellEnd"/>
            <w:r w:rsidRPr="009534C5">
              <w:rPr>
                <w:rFonts w:ascii="Arial" w:eastAsia="Times New Roman" w:hAnsi="Arial" w:cs="Arial"/>
                <w:lang w:eastAsia="ru-RU"/>
              </w:rPr>
              <w:t xml:space="preserve"> Лог</w:t>
            </w:r>
          </w:p>
          <w:p w14:paraId="72203D31" w14:textId="77777777" w:rsidR="009534C5" w:rsidRPr="009534C5" w:rsidRDefault="009534C5" w:rsidP="00326D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534C5" w:rsidRPr="009534C5" w14:paraId="1FE55894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E5BB4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0E65A" w14:textId="77777777" w:rsidR="009534C5" w:rsidRPr="009534C5" w:rsidRDefault="009534C5" w:rsidP="00326D31">
            <w:pPr>
              <w:spacing w:before="125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Всего за период реализации программы – 3000,00. руб. в том числе по годам реализации программы:</w:t>
            </w:r>
          </w:p>
          <w:p w14:paraId="41E1DBFE" w14:textId="77777777" w:rsidR="009534C5" w:rsidRPr="009534C5" w:rsidRDefault="009534C5" w:rsidP="00326D31">
            <w:pPr>
              <w:spacing w:before="125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2025г.  -  1000,00 руб.</w:t>
            </w:r>
          </w:p>
          <w:p w14:paraId="10C17C30" w14:textId="77777777" w:rsidR="009534C5" w:rsidRPr="009534C5" w:rsidRDefault="009534C5" w:rsidP="00326D31">
            <w:pPr>
              <w:spacing w:before="125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2026г. - 1000,00 руб.</w:t>
            </w:r>
          </w:p>
          <w:p w14:paraId="69C5F9E7" w14:textId="77777777" w:rsidR="009534C5" w:rsidRPr="009534C5" w:rsidRDefault="009534C5" w:rsidP="00326D31">
            <w:pPr>
              <w:spacing w:before="125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34C5">
              <w:rPr>
                <w:rFonts w:ascii="Arial" w:eastAsia="Times New Roman" w:hAnsi="Arial" w:cs="Arial"/>
                <w:lang w:eastAsia="ru-RU"/>
              </w:rPr>
              <w:t>2027г.  -  1000,00 руб.</w:t>
            </w:r>
          </w:p>
          <w:p w14:paraId="6B110329" w14:textId="77777777" w:rsidR="009534C5" w:rsidRPr="009534C5" w:rsidRDefault="009534C5" w:rsidP="00326D31">
            <w:pPr>
              <w:spacing w:before="125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06B3197C" w14:textId="77777777" w:rsidR="009534C5" w:rsidRPr="009534C5" w:rsidRDefault="009534C5" w:rsidP="00326D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Размер, расходуемых средств на реализацию программы, может уточняться и корректироваться, исходя из возможностей бюджета сельского поселения, инфляционных процессов и экономической ситуации на территории сельского поселения.</w:t>
            </w:r>
          </w:p>
        </w:tc>
      </w:tr>
      <w:tr w:rsidR="009534C5" w:rsidRPr="009534C5" w14:paraId="2A7E11D6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3F7E3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99C4D" w14:textId="77777777" w:rsidR="009534C5" w:rsidRPr="009534C5" w:rsidRDefault="009534C5" w:rsidP="00326D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реализация мероприятий </w:t>
            </w:r>
            <w:proofErr w:type="gram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Программы  позволит</w:t>
            </w:r>
            <w:proofErr w:type="gram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снизить возможность совершения террористических актов на территории сельского поселения, создать систему технической  защиты объектов социальной сферы, образования, здравоохранения и объектов с массовым пребыванием граждан.</w:t>
            </w:r>
          </w:p>
        </w:tc>
      </w:tr>
      <w:tr w:rsidR="009534C5" w:rsidRPr="009534C5" w14:paraId="487A8023" w14:textId="77777777" w:rsidTr="00326D31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F0CBE" w14:textId="77777777" w:rsidR="009534C5" w:rsidRPr="009534C5" w:rsidRDefault="009534C5" w:rsidP="00326D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8B23C" w14:textId="77777777" w:rsidR="009534C5" w:rsidRPr="009534C5" w:rsidRDefault="009534C5" w:rsidP="00326D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контроль за исполнением программных </w:t>
            </w:r>
            <w:proofErr w:type="gram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мероприятий  осуществляется</w:t>
            </w:r>
            <w:proofErr w:type="gram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     администрацией  сельского поселения.</w:t>
            </w:r>
          </w:p>
        </w:tc>
      </w:tr>
    </w:tbl>
    <w:p w14:paraId="1E929E7A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lastRenderedPageBreak/>
        <w:t>1.  Содержание проблемы и обоснование необходимости ее решения программными методами</w:t>
      </w:r>
    </w:p>
    <w:p w14:paraId="79D6670A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терроризм все больше приобретает характер реальной угрозы для безопасности жителей сельского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муниципальной программой.</w:t>
      </w:r>
    </w:p>
    <w:p w14:paraId="313BD7BB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2. Цели и задачи Программы, сроки и этапы ее реализации</w:t>
      </w:r>
    </w:p>
    <w:p w14:paraId="5FCFE664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gramStart"/>
      <w:r w:rsidRPr="009534C5">
        <w:rPr>
          <w:rFonts w:ascii="Arial" w:eastAsia="Times New Roman" w:hAnsi="Arial" w:cs="Arial"/>
          <w:color w:val="3B2D36"/>
          <w:lang w:eastAsia="ru-RU"/>
        </w:rPr>
        <w:t>анти-экстремистской</w:t>
      </w:r>
      <w:proofErr w:type="gramEnd"/>
      <w:r w:rsidRPr="009534C5">
        <w:rPr>
          <w:rFonts w:ascii="Arial" w:eastAsia="Times New Roman" w:hAnsi="Arial" w:cs="Arial"/>
          <w:color w:val="3B2D36"/>
          <w:lang w:eastAsia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2020-2022 годов </w:t>
      </w:r>
    </w:p>
    <w:p w14:paraId="45C672C7" w14:textId="77777777" w:rsidR="009534C5" w:rsidRPr="009534C5" w:rsidRDefault="009534C5" w:rsidP="00953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3.  Программные мероприятия Программа включает мероприятия по приоритетным направлениям в сфере профилактики терроризма и экстремизма: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информационно-пропагандистское противодействие терроризму и экстремизму;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>организационно-технические мероприятия;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усиление антитеррористической защищенности объектов социальной сферы.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>а). Информационно-пропагандистское противодействие терроризму и экстремизму.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>В целях реализации данного направления Программы запланировано проведение следующих мероприятий: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циклы «круглых столов», лекции, через учреждения образования и культур, библиотечную сеть, сходы граждан,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отношений;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реализация молодежных программ, направленных на профилактику насильственного поведения молодежи, встречи с молодежью с участием представителей </w:t>
      </w:r>
      <w:r w:rsidRPr="009534C5">
        <w:rPr>
          <w:rFonts w:ascii="Arial" w:eastAsia="Times New Roman" w:hAnsi="Arial" w:cs="Arial"/>
          <w:color w:val="3B2D36"/>
          <w:lang w:eastAsia="ru-RU"/>
        </w:rPr>
        <w:lastRenderedPageBreak/>
        <w:t>правоохранительных органов и общественных национальных объединений;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организация и проведение мероприятий, направленных на повышение толерантности населения.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>б) Организационно-технические мероприятия: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>В целях реализации данного направления будут проведены следующие мероприятия: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формирование списка объектов повышенной техногенной и экологической опасности;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организация постоянного контроля за наличием и исправностью замков на дверях нежилых помещений;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выявление, предупреждение и пресечение экстремистской деятельности общественных организаций, религиозных объединений, физических лиц;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вовлечение общественности в предупреждение экстремистской деятельности; профилактика экстремизма среди несовершеннолетних и молодежи;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проведение комплексных обследований объектов жизнеобеспечения, потенциально опасных объектов на предмет проверки режимно-охранных мер;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организация информирования граждан о действиях при угрозе возникновения террористических актов в местах массового пребывания; </w:t>
      </w:r>
      <w:r w:rsidRPr="009534C5">
        <w:rPr>
          <w:rFonts w:ascii="Arial" w:eastAsia="Times New Roman" w:hAnsi="Arial" w:cs="Arial"/>
          <w:color w:val="3B2D36"/>
          <w:lang w:eastAsia="ru-RU"/>
        </w:rPr>
        <w:br/>
      </w:r>
      <w:r w:rsidRPr="009534C5">
        <w:rPr>
          <w:rFonts w:ascii="Arial" w:eastAsia="Times New Roman" w:hAnsi="Arial" w:cs="Arial"/>
          <w:color w:val="3B2D36"/>
          <w:lang w:eastAsia="ru-RU"/>
        </w:rPr>
        <w:sym w:font="Symbol" w:char="F02D"/>
      </w:r>
      <w:r w:rsidRPr="009534C5">
        <w:rPr>
          <w:rFonts w:ascii="Arial" w:eastAsia="Times New Roman" w:hAnsi="Arial" w:cs="Arial"/>
          <w:color w:val="3B2D36"/>
          <w:lang w:eastAsia="ru-RU"/>
        </w:rPr>
        <w:t xml:space="preserve"> организация пропаганды патриотизма, здорового образа жизни подростков, молодежи, их ориентация на духовные ценности.</w:t>
      </w:r>
      <w:r w:rsidRPr="009534C5">
        <w:rPr>
          <w:rFonts w:ascii="Arial" w:eastAsia="Times New Roman" w:hAnsi="Arial" w:cs="Arial"/>
          <w:color w:val="3B2D36"/>
          <w:lang w:eastAsia="ru-RU"/>
        </w:rPr>
        <w:br/>
        <w:t>4. Ресурсное обеспечение Программы</w:t>
      </w:r>
    </w:p>
    <w:p w14:paraId="692E1E12" w14:textId="77777777" w:rsidR="009534C5" w:rsidRDefault="009534C5" w:rsidP="00953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Финансирование Программы предполагается осуществлять за счет средств бюджета сельского поселения. Для реализации программных мероприятий из бюджета поселения необходимо выделить рублей:</w:t>
      </w:r>
    </w:p>
    <w:p w14:paraId="4DFA2DC7" w14:textId="77777777" w:rsidR="009534C5" w:rsidRPr="009534C5" w:rsidRDefault="009534C5" w:rsidP="00953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2D36"/>
          <w:lang w:eastAsia="ru-RU"/>
        </w:rPr>
      </w:pPr>
    </w:p>
    <w:tbl>
      <w:tblPr>
        <w:tblW w:w="10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311"/>
        <w:gridCol w:w="1794"/>
        <w:gridCol w:w="1794"/>
        <w:gridCol w:w="1967"/>
      </w:tblGrid>
      <w:tr w:rsidR="009534C5" w:rsidRPr="009534C5" w14:paraId="719061F0" w14:textId="77777777" w:rsidTr="00326D31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9A51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0DFFB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2025год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D6FC3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2026 год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53B92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2027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B1E90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Всего</w:t>
            </w:r>
          </w:p>
        </w:tc>
      </w:tr>
      <w:tr w:rsidR="009534C5" w:rsidRPr="009534C5" w14:paraId="57B9BB36" w14:textId="77777777" w:rsidTr="00326D31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A160B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Бюджет администрации </w:t>
            </w:r>
            <w:proofErr w:type="spellStart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Выезжелогского</w:t>
            </w:r>
            <w:proofErr w:type="spellEnd"/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 xml:space="preserve"> сельсовета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C8686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1BD69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C5337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1384D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3000,00</w:t>
            </w:r>
          </w:p>
        </w:tc>
      </w:tr>
      <w:tr w:rsidR="009534C5" w:rsidRPr="009534C5" w14:paraId="1FF95E53" w14:textId="77777777" w:rsidTr="00326D31">
        <w:trPr>
          <w:tblCellSpacing w:w="0" w:type="dxa"/>
          <w:jc w:val="center"/>
        </w:trPr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FED46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bCs/>
                <w:color w:val="3B2D36"/>
                <w:lang w:eastAsia="ru-RU"/>
              </w:rPr>
              <w:t>Итого: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E4410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5E50B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0988F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1000,00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97D51" w14:textId="77777777" w:rsidR="009534C5" w:rsidRPr="009534C5" w:rsidRDefault="009534C5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2D36"/>
                <w:lang w:eastAsia="ru-RU"/>
              </w:rPr>
            </w:pPr>
            <w:r w:rsidRPr="009534C5">
              <w:rPr>
                <w:rFonts w:ascii="Arial" w:eastAsia="Times New Roman" w:hAnsi="Arial" w:cs="Arial"/>
                <w:color w:val="3B2D36"/>
                <w:lang w:eastAsia="ru-RU"/>
              </w:rPr>
              <w:t>3000,00</w:t>
            </w:r>
          </w:p>
        </w:tc>
      </w:tr>
    </w:tbl>
    <w:p w14:paraId="3CA45E16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 xml:space="preserve">С учетом возможностей бюджета </w:t>
      </w:r>
      <w:proofErr w:type="spellStart"/>
      <w:r w:rsidRPr="009534C5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color w:val="3B2D36"/>
          <w:lang w:eastAsia="ru-RU"/>
        </w:rPr>
        <w:t xml:space="preserve"> сельсовета, объемы средств, направляемых на реализацию Программы, уточняются при разработке проекта решения Совета депутатов сельского поселения о бюджете на очередной финансовый год.</w:t>
      </w:r>
    </w:p>
    <w:p w14:paraId="08BA33DC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5. Организация управления реализацией Программы и контроль над ходом ее выполнения</w:t>
      </w:r>
    </w:p>
    <w:p w14:paraId="6A64256F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 xml:space="preserve">Контроль над исполнением программных мероприятий осуществляется администрацией </w:t>
      </w:r>
      <w:proofErr w:type="spellStart"/>
      <w:r w:rsidRPr="009534C5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color w:val="3B2D36"/>
          <w:lang w:eastAsia="ru-RU"/>
        </w:rPr>
        <w:t xml:space="preserve"> сельсовета. Ответственными за выполнение мероприятий Программы в установленные сроки являются исполнители Программы.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</w:t>
      </w:r>
    </w:p>
    <w:p w14:paraId="1EFCFB1A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>6. Ожидаемые результаты реализации Программы</w:t>
      </w:r>
    </w:p>
    <w:p w14:paraId="6A39DDDF" w14:textId="77777777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 xml:space="preserve">Реализация мероприятий Программы позволит снизить возможность совершения террористических актов на территории </w:t>
      </w:r>
      <w:proofErr w:type="spellStart"/>
      <w:r w:rsidRPr="009534C5">
        <w:rPr>
          <w:rFonts w:ascii="Arial" w:eastAsia="Times New Roman" w:hAnsi="Arial" w:cs="Arial"/>
          <w:color w:val="3B2D36"/>
          <w:lang w:eastAsia="ru-RU"/>
        </w:rPr>
        <w:t>Выезжелогского</w:t>
      </w:r>
      <w:proofErr w:type="spellEnd"/>
      <w:r w:rsidRPr="009534C5">
        <w:rPr>
          <w:rFonts w:ascii="Arial" w:eastAsia="Times New Roman" w:hAnsi="Arial" w:cs="Arial"/>
          <w:color w:val="3B2D36"/>
          <w:lang w:eastAsia="ru-RU"/>
        </w:rPr>
        <w:t xml:space="preserve"> сельсовета, создать систему технической защиты объектов социальной сферы, образования, здравоохранения и объектов с массовым пребыванием граждан.</w:t>
      </w:r>
    </w:p>
    <w:p w14:paraId="2F3BEFE5" w14:textId="77777777" w:rsid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</w:p>
    <w:p w14:paraId="20E3984A" w14:textId="77777777" w:rsid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</w:p>
    <w:p w14:paraId="4901B483" w14:textId="4C5A4ECF" w:rsidR="009534C5" w:rsidRPr="009534C5" w:rsidRDefault="009534C5" w:rsidP="00953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lang w:eastAsia="ru-RU"/>
        </w:rPr>
      </w:pPr>
      <w:r w:rsidRPr="009534C5">
        <w:rPr>
          <w:rFonts w:ascii="Arial" w:eastAsia="Times New Roman" w:hAnsi="Arial" w:cs="Arial"/>
          <w:color w:val="3B2D36"/>
          <w:lang w:eastAsia="ru-RU"/>
        </w:rPr>
        <w:t xml:space="preserve">Глава сельсовета                                                                                                     С.А. </w:t>
      </w:r>
      <w:proofErr w:type="spellStart"/>
      <w:r w:rsidRPr="009534C5">
        <w:rPr>
          <w:rFonts w:ascii="Arial" w:eastAsia="Times New Roman" w:hAnsi="Arial" w:cs="Arial"/>
          <w:color w:val="3B2D36"/>
          <w:lang w:eastAsia="ru-RU"/>
        </w:rPr>
        <w:t>Цикунов</w:t>
      </w:r>
      <w:proofErr w:type="spellEnd"/>
    </w:p>
    <w:p w14:paraId="78971F33" w14:textId="77777777" w:rsidR="00F12C76" w:rsidRPr="009534C5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9534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F4"/>
    <w:rsid w:val="002E0DD7"/>
    <w:rsid w:val="006C0B77"/>
    <w:rsid w:val="008242FF"/>
    <w:rsid w:val="00870751"/>
    <w:rsid w:val="00922C48"/>
    <w:rsid w:val="009461F4"/>
    <w:rsid w:val="009534C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7384"/>
  <w15:chartTrackingRefBased/>
  <w15:docId w15:val="{105A1165-2465-4607-8FA7-F76F4A8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cp:lastPrinted>2024-11-18T07:37:00Z</cp:lastPrinted>
  <dcterms:created xsi:type="dcterms:W3CDTF">2024-11-18T07:34:00Z</dcterms:created>
  <dcterms:modified xsi:type="dcterms:W3CDTF">2024-11-18T07:37:00Z</dcterms:modified>
</cp:coreProperties>
</file>